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D07EB" w14:textId="5D12FDCB" w:rsidR="003107C3" w:rsidRPr="003107C3" w:rsidRDefault="003107C3" w:rsidP="003107C3">
      <w:pPr>
        <w:jc w:val="center"/>
        <w:rPr>
          <w:b/>
        </w:rPr>
      </w:pPr>
      <w:r>
        <w:rPr>
          <w:b/>
        </w:rPr>
        <w:t>Информация в</w:t>
      </w:r>
      <w:r w:rsidRPr="003107C3">
        <w:rPr>
          <w:b/>
        </w:rPr>
        <w:t xml:space="preserve"> случае применения метода доходности инвестированного капитала при государственном регулировании тарифов в отношении субъектов рынков электрической энергии:</w:t>
      </w:r>
    </w:p>
    <w:p w14:paraId="56F5B7A2" w14:textId="2E39EC87" w:rsidR="003107C3" w:rsidRPr="003107C3" w:rsidRDefault="007869DD" w:rsidP="003107C3">
      <w:r>
        <w:t xml:space="preserve">       </w:t>
      </w:r>
      <w:r w:rsidR="003107C3" w:rsidRPr="003107C3">
        <w:t>Подконтрольные (операционные) и неподконтрольные расходы, включаемые в необходимую валовую выручку, норма доходности инвестированного капитала, установленная федеральным органом исполнительной власти в области государственного регулирования тарифов и органами исполнительной власти субъектов Российской Федерации в области государственного регулирования тарифов (с указанием акта об утверждении нормы доходности на инвестированный капитал), фактический уровень доходности инвестированного капитала, использованного при осуществлении регулируемой деятельности, и обоснование причин его отклонения от уровня доходности инвестированного капитала, установленного федеральным органом исполнительной власти в области государственного регулирования тарифов и органами исполнительной власти субъектов Российской Федерации в области государственного регулирования тарифов;</w:t>
      </w:r>
    </w:p>
    <w:p w14:paraId="2B92A5F5" w14:textId="1668552D" w:rsidR="003107C3" w:rsidRPr="003107C3" w:rsidRDefault="007869DD" w:rsidP="003107C3">
      <w:r>
        <w:t xml:space="preserve">        </w:t>
      </w:r>
      <w:r w:rsidR="003107C3" w:rsidRPr="003107C3">
        <w:t>Отчет о движении активов, включающий балансовую стоимость активов на начало года, балансовую стоимость активов на конец года, а также информацию о выбытии активов в течение года;</w:t>
      </w:r>
    </w:p>
    <w:p w14:paraId="6286CE4B" w14:textId="6E98D5B9" w:rsidR="00504EC1" w:rsidRDefault="007869DD" w:rsidP="003107C3">
      <w:r>
        <w:t xml:space="preserve">        </w:t>
      </w:r>
      <w:r w:rsidR="003107C3" w:rsidRPr="003107C3">
        <w:t>Отчет о вводе активов в течение года, в том числе за счет переоценки, модернизации, реконструкции, строительства и приобретения нового оборудования.</w:t>
      </w:r>
    </w:p>
    <w:p w14:paraId="4357B051" w14:textId="1613F390" w:rsidR="003107C3" w:rsidRDefault="003107C3" w:rsidP="003107C3"/>
    <w:p w14:paraId="16739084" w14:textId="08C95A1B" w:rsidR="003107C3" w:rsidRPr="003107C3" w:rsidRDefault="003107C3" w:rsidP="003107C3">
      <w:pPr>
        <w:jc w:val="both"/>
        <w:rPr>
          <w:rFonts w:ascii="Arial" w:hAnsi="Arial" w:cs="Arial"/>
          <w:color w:val="333333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 </w:t>
      </w:r>
      <w:r w:rsidRPr="003107C3">
        <w:rPr>
          <w:rFonts w:ascii="Times New Roman" w:hAnsi="Times New Roman" w:cs="Times New Roman"/>
          <w:sz w:val="24"/>
          <w:szCs w:val="20"/>
        </w:rPr>
        <w:t xml:space="preserve">При расчете тарифов на услуги по передаче электрической энергии по сетям </w:t>
      </w:r>
      <w:r>
        <w:rPr>
          <w:rFonts w:ascii="Times New Roman" w:hAnsi="Times New Roman" w:cs="Times New Roman"/>
          <w:sz w:val="24"/>
          <w:szCs w:val="20"/>
        </w:rPr>
        <w:t xml:space="preserve">                  </w:t>
      </w:r>
      <w:r w:rsidRPr="003107C3">
        <w:rPr>
          <w:rFonts w:ascii="Times New Roman" w:hAnsi="Times New Roman" w:cs="Times New Roman"/>
          <w:sz w:val="24"/>
          <w:szCs w:val="20"/>
        </w:rPr>
        <w:t>ООО «ЦЭК» применяется метод долгосрочной индексации необходимой валовой выручки</w:t>
      </w:r>
      <w:r w:rsidRPr="003107C3">
        <w:rPr>
          <w:rFonts w:ascii="Arial" w:hAnsi="Arial" w:cs="Arial"/>
          <w:color w:val="333333"/>
          <w:szCs w:val="20"/>
        </w:rPr>
        <w:t>.</w:t>
      </w:r>
    </w:p>
    <w:p w14:paraId="530B00BD" w14:textId="08C74018" w:rsidR="003107C3" w:rsidRPr="003107C3" w:rsidRDefault="003107C3" w:rsidP="003107C3">
      <w:pPr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  </w:t>
      </w:r>
      <w:r w:rsidRPr="003107C3">
        <w:rPr>
          <w:rFonts w:ascii="Times New Roman" w:hAnsi="Times New Roman" w:cs="Times New Roman"/>
          <w:sz w:val="24"/>
          <w:szCs w:val="20"/>
        </w:rPr>
        <w:t>Метод доходности инвестированного капитала при установлении тарифов для</w:t>
      </w:r>
      <w:r>
        <w:rPr>
          <w:rFonts w:ascii="Times New Roman" w:hAnsi="Times New Roman" w:cs="Times New Roman"/>
          <w:sz w:val="24"/>
          <w:szCs w:val="20"/>
        </w:rPr>
        <w:t xml:space="preserve">            </w:t>
      </w:r>
      <w:r w:rsidRPr="003107C3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 xml:space="preserve">ООО </w:t>
      </w:r>
      <w:r w:rsidRPr="003107C3">
        <w:rPr>
          <w:rFonts w:ascii="Times New Roman" w:hAnsi="Times New Roman" w:cs="Times New Roman"/>
          <w:sz w:val="24"/>
          <w:szCs w:val="20"/>
        </w:rPr>
        <w:t>«</w:t>
      </w:r>
      <w:r>
        <w:rPr>
          <w:rFonts w:ascii="Times New Roman" w:hAnsi="Times New Roman" w:cs="Times New Roman"/>
          <w:sz w:val="24"/>
          <w:szCs w:val="20"/>
        </w:rPr>
        <w:t>ЦЭК</w:t>
      </w:r>
      <w:r w:rsidRPr="003107C3">
        <w:rPr>
          <w:rFonts w:ascii="Times New Roman" w:hAnsi="Times New Roman" w:cs="Times New Roman"/>
          <w:sz w:val="24"/>
          <w:szCs w:val="20"/>
        </w:rPr>
        <w:t xml:space="preserve">» </w:t>
      </w:r>
      <w:r w:rsidR="00CB0DEF">
        <w:rPr>
          <w:rFonts w:ascii="Times New Roman" w:hAnsi="Times New Roman" w:cs="Times New Roman"/>
          <w:sz w:val="24"/>
          <w:szCs w:val="20"/>
        </w:rPr>
        <w:t>с 2018 по 202</w:t>
      </w:r>
      <w:r w:rsidR="007869DD">
        <w:rPr>
          <w:rFonts w:ascii="Times New Roman" w:hAnsi="Times New Roman" w:cs="Times New Roman"/>
          <w:sz w:val="24"/>
          <w:szCs w:val="20"/>
        </w:rPr>
        <w:t>5</w:t>
      </w:r>
      <w:r w:rsidR="00CB0DEF">
        <w:rPr>
          <w:rFonts w:ascii="Times New Roman" w:hAnsi="Times New Roman" w:cs="Times New Roman"/>
          <w:sz w:val="24"/>
          <w:szCs w:val="20"/>
        </w:rPr>
        <w:t xml:space="preserve"> года </w:t>
      </w:r>
      <w:r w:rsidRPr="003107C3">
        <w:rPr>
          <w:rFonts w:ascii="Times New Roman" w:hAnsi="Times New Roman" w:cs="Times New Roman"/>
          <w:sz w:val="24"/>
          <w:szCs w:val="20"/>
        </w:rPr>
        <w:t>не применяется.</w:t>
      </w:r>
    </w:p>
    <w:sectPr w:rsidR="003107C3" w:rsidRPr="00310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ED3"/>
    <w:rsid w:val="002E559C"/>
    <w:rsid w:val="003107C3"/>
    <w:rsid w:val="00504EC1"/>
    <w:rsid w:val="007869DD"/>
    <w:rsid w:val="00A17FCC"/>
    <w:rsid w:val="00A41ED3"/>
    <w:rsid w:val="00CB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022DD"/>
  <w15:chartTrackingRefBased/>
  <w15:docId w15:val="{00186C19-4204-4638-A3C5-D7457A46D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Баталова Наиля Шавкатовна</cp:lastModifiedBy>
  <cp:revision>3</cp:revision>
  <dcterms:created xsi:type="dcterms:W3CDTF">2025-05-20T12:18:00Z</dcterms:created>
  <dcterms:modified xsi:type="dcterms:W3CDTF">2025-05-20T12:20:00Z</dcterms:modified>
</cp:coreProperties>
</file>